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1AF982" w14:textId="71E427F7" w:rsidR="009B3F34" w:rsidRPr="009B3F34" w:rsidRDefault="003978B5" w:rsidP="009B3F34">
      <w:pPr>
        <w:pStyle w:val="EndNoteBibliography"/>
        <w:ind w:left="720" w:hanging="720"/>
        <w:jc w:val="center"/>
        <w:rPr>
          <w:b/>
          <w:bCs/>
          <w:color w:val="072446"/>
        </w:rPr>
      </w:pPr>
      <w:r>
        <w:rPr>
          <w:b/>
          <w:bCs/>
          <w:color w:val="072446"/>
        </w:rPr>
        <w:t>EPISTEMIC INJUSTICE AND SAFETY</w:t>
      </w:r>
    </w:p>
    <w:p w14:paraId="7DE4C60D" w14:textId="77777777" w:rsidR="009B3F34" w:rsidRDefault="009B3F34" w:rsidP="009B3F34">
      <w:pPr>
        <w:pStyle w:val="EndNoteBibliography"/>
        <w:ind w:left="720" w:hanging="720"/>
      </w:pPr>
    </w:p>
    <w:p w14:paraId="4358BDEE" w14:textId="13E2C679" w:rsidR="009B3F34" w:rsidRDefault="009B3F34" w:rsidP="009B3F34">
      <w:pPr>
        <w:pStyle w:val="EndNoteBibliography"/>
        <w:ind w:left="720" w:hanging="720"/>
      </w:pPr>
      <w:r w:rsidRPr="00C07283">
        <w:t xml:space="preserve">Anderson, D. (2021) 'An Epistemological Conception of Safe Spaces', </w:t>
      </w:r>
      <w:r w:rsidRPr="00C07283">
        <w:rPr>
          <w:i/>
        </w:rPr>
        <w:t>Social Epistemology,</w:t>
      </w:r>
      <w:r w:rsidRPr="00C07283">
        <w:t xml:space="preserve"> 35(3), pp. 285-311. doi: 10.1080/02691728.2020.1855485.</w:t>
      </w:r>
    </w:p>
    <w:p w14:paraId="3E7B3ED5" w14:textId="77777777" w:rsidR="009B3F34" w:rsidRDefault="009B3F34" w:rsidP="009B3F34">
      <w:pPr>
        <w:pStyle w:val="EndNoteBibliography"/>
        <w:ind w:left="720" w:hanging="720"/>
      </w:pPr>
      <w:r w:rsidRPr="00C07283">
        <w:t xml:space="preserve">Causevic, A., Philip, K., Zwick-Maitreyi, M., Lewis, P. H., Bouterse, S. and Sengupta, A. (2020) 'Centering knowledge from the margins: our embodied practices of epistemic resistance and revolution', </w:t>
      </w:r>
      <w:r w:rsidRPr="00C07283">
        <w:rPr>
          <w:i/>
        </w:rPr>
        <w:t>International Feminist Journal of Politics,</w:t>
      </w:r>
      <w:r w:rsidRPr="00C07283">
        <w:t xml:space="preserve"> 22(1), pp. 6-25. doi: 10.1080/14616742.2019.1701515.</w:t>
      </w:r>
    </w:p>
    <w:p w14:paraId="19265663" w14:textId="77777777" w:rsidR="009B3F34" w:rsidRPr="00C07283" w:rsidRDefault="009B3F34" w:rsidP="009B3F34">
      <w:pPr>
        <w:pStyle w:val="EndNoteBibliography"/>
        <w:ind w:left="720" w:hanging="720"/>
      </w:pPr>
      <w:r w:rsidRPr="00C07283">
        <w:t xml:space="preserve">Dame-Griff, E. C. (2021) 'What do we mean when we say “Latinx?”: Definitional power, the limits of inclusivity, and the (un/re)constitution of an identity category', </w:t>
      </w:r>
      <w:r w:rsidRPr="00C07283">
        <w:rPr>
          <w:i/>
        </w:rPr>
        <w:t>Journal of International and Intercultural Communication</w:t>
      </w:r>
      <w:r w:rsidRPr="00C07283">
        <w:t>, pp. 1-13. doi: 10.1080/17513057.2021.1901957.</w:t>
      </w:r>
    </w:p>
    <w:p w14:paraId="6ECCC1BE" w14:textId="77777777" w:rsidR="009B3F34" w:rsidRPr="00C07283" w:rsidRDefault="009B3F34" w:rsidP="009B3F34">
      <w:pPr>
        <w:pStyle w:val="EndNoteBibliography"/>
        <w:ind w:left="720" w:hanging="720"/>
      </w:pPr>
      <w:r w:rsidRPr="00C07283">
        <w:t xml:space="preserve">Devendorf, A. R. (2020) </w:t>
      </w:r>
      <w:r w:rsidRPr="00C07283">
        <w:rPr>
          <w:i/>
        </w:rPr>
        <w:t>Student Notebook: Rethinking Psychology's Attitudes About "Me Search".</w:t>
      </w:r>
      <w:r w:rsidRPr="00C07283">
        <w:t xml:space="preserve"> Association for Psychological Science Available at: </w:t>
      </w:r>
      <w:hyperlink r:id="rId6" w:history="1">
        <w:r w:rsidRPr="00C07283">
          <w:rPr>
            <w:rStyle w:val="Hyperlink"/>
          </w:rPr>
          <w:t>https://www.psychologicalscience.org/observer/student-notebook-me-search</w:t>
        </w:r>
      </w:hyperlink>
      <w:r w:rsidRPr="00C07283">
        <w:t xml:space="preserve"> (Accessed: 08 June 2021).</w:t>
      </w:r>
    </w:p>
    <w:p w14:paraId="4031958D" w14:textId="77777777" w:rsidR="009B3F34" w:rsidRPr="00C07283" w:rsidRDefault="009B3F34" w:rsidP="009B3F34">
      <w:pPr>
        <w:pStyle w:val="EndNoteBibliography"/>
        <w:ind w:left="720" w:hanging="720"/>
      </w:pPr>
      <w:r w:rsidRPr="00C07283">
        <w:t xml:space="preserve">Dotson, K. (2014) 'Conceptualizing Epistemic Oppression', </w:t>
      </w:r>
      <w:r w:rsidRPr="00C07283">
        <w:rPr>
          <w:i/>
        </w:rPr>
        <w:t>Social Epistemology,</w:t>
      </w:r>
      <w:r w:rsidRPr="00C07283">
        <w:t xml:space="preserve"> 28(2), pp. 115-138. doi: 10.1080/02691728.2013.782585.</w:t>
      </w:r>
    </w:p>
    <w:p w14:paraId="4943220E" w14:textId="77777777" w:rsidR="009B3F34" w:rsidRPr="00C07283" w:rsidRDefault="009B3F34" w:rsidP="009B3F34">
      <w:pPr>
        <w:pStyle w:val="EndNoteBibliography"/>
        <w:ind w:left="720" w:hanging="720"/>
      </w:pPr>
      <w:r w:rsidRPr="00C07283">
        <w:t xml:space="preserve">Donati, P. (2016) 'The ‘Relational Subject’ According to a Critical Realist Relational Sociology', </w:t>
      </w:r>
      <w:r w:rsidRPr="00C07283">
        <w:rPr>
          <w:i/>
        </w:rPr>
        <w:t>Journal of Critical Realism,</w:t>
      </w:r>
      <w:r w:rsidRPr="00C07283">
        <w:t xml:space="preserve"> 15(4), pp. 352-375. doi: 10.1080/14767430.2016.1166728.</w:t>
      </w:r>
    </w:p>
    <w:p w14:paraId="2F7E5924" w14:textId="77777777" w:rsidR="009B3F34" w:rsidRPr="00C07283" w:rsidRDefault="009B3F34" w:rsidP="009B3F34">
      <w:pPr>
        <w:pStyle w:val="EndNoteBibliography"/>
        <w:ind w:left="720" w:hanging="720"/>
      </w:pPr>
      <w:r w:rsidRPr="00C07283">
        <w:lastRenderedPageBreak/>
        <w:t xml:space="preserve">Ferkany, M. (2021) 'How and Why We Should Argue with Angry Uncle: A Defense of Fact Dumping and Consistency Checking', </w:t>
      </w:r>
      <w:r w:rsidRPr="00C07283">
        <w:rPr>
          <w:i/>
        </w:rPr>
        <w:t>Social Epistemology</w:t>
      </w:r>
      <w:r w:rsidRPr="00C07283">
        <w:t>, pp. 1-13. doi: 10.1080/02691728.2021.1930275.</w:t>
      </w:r>
    </w:p>
    <w:p w14:paraId="1D2E7CB1" w14:textId="77777777" w:rsidR="009B3F34" w:rsidRPr="00C07283" w:rsidRDefault="009B3F34" w:rsidP="009B3F34">
      <w:pPr>
        <w:pStyle w:val="EndNoteBibliography"/>
        <w:ind w:left="720" w:hanging="720"/>
      </w:pPr>
      <w:r w:rsidRPr="00C07283">
        <w:t xml:space="preserve">Fricker, M. (2007) 'Epistemic Injustice: Power and the Ethics of Knowing',  </w:t>
      </w:r>
      <w:r w:rsidRPr="00C07283">
        <w:rPr>
          <w:i/>
        </w:rPr>
        <w:t>Oxford Scholarship Online</w:t>
      </w:r>
      <w:r w:rsidRPr="00C07283">
        <w:t>, pp. 1-35.</w:t>
      </w:r>
    </w:p>
    <w:p w14:paraId="1B725823" w14:textId="77777777" w:rsidR="009B3F34" w:rsidRPr="00C07283" w:rsidRDefault="009B3F34" w:rsidP="009B3F34">
      <w:pPr>
        <w:pStyle w:val="EndNoteBibliography"/>
        <w:ind w:left="720" w:hanging="720"/>
      </w:pPr>
      <w:r w:rsidRPr="00C07283">
        <w:t xml:space="preserve">Fricker, M. (2013) 'Epistemic justice as a condition of political freedom?', </w:t>
      </w:r>
      <w:r w:rsidRPr="00C07283">
        <w:rPr>
          <w:i/>
        </w:rPr>
        <w:t>Synthese,</w:t>
      </w:r>
      <w:r w:rsidRPr="00C07283">
        <w:t xml:space="preserve"> 190(7), pp. 1317-1332.</w:t>
      </w:r>
    </w:p>
    <w:p w14:paraId="0CABF549" w14:textId="77777777" w:rsidR="009B3F34" w:rsidRPr="00C07283" w:rsidRDefault="009B3F34" w:rsidP="009B3F34">
      <w:pPr>
        <w:pStyle w:val="EndNoteBibliography"/>
        <w:ind w:left="720" w:hanging="720"/>
      </w:pPr>
      <w:r w:rsidRPr="00C07283">
        <w:t xml:space="preserve">Goetze, T. S. (2018) 'Hermeneutical Dissent and the Species of Hermeneutical Injustice', </w:t>
      </w:r>
      <w:r w:rsidRPr="00C07283">
        <w:rPr>
          <w:i/>
        </w:rPr>
        <w:t>Hypatia,</w:t>
      </w:r>
      <w:r w:rsidRPr="00C07283">
        <w:t xml:space="preserve"> 33(1), pp. 73-90. doi: 10.1111/hypa.12384.</w:t>
      </w:r>
    </w:p>
    <w:p w14:paraId="3BED9855" w14:textId="77777777" w:rsidR="009B3F34" w:rsidRPr="00C07283" w:rsidRDefault="009B3F34" w:rsidP="009B3F34">
      <w:pPr>
        <w:pStyle w:val="EndNoteBibliography"/>
        <w:ind w:left="720" w:hanging="720"/>
      </w:pPr>
      <w:r w:rsidRPr="00C07283">
        <w:t xml:space="preserve">McKinnon, R. (2016) 'Epistemic Injustice', </w:t>
      </w:r>
      <w:r w:rsidRPr="00C07283">
        <w:rPr>
          <w:i/>
        </w:rPr>
        <w:t>Philosophy Compass,</w:t>
      </w:r>
      <w:r w:rsidRPr="00C07283">
        <w:t xml:space="preserve"> 11(8), pp. 437-446. doi: 10.1111/phc3.12336.</w:t>
      </w:r>
    </w:p>
    <w:p w14:paraId="24F9D22B" w14:textId="77777777" w:rsidR="009B3F34" w:rsidRPr="00C07283" w:rsidRDefault="009B3F34" w:rsidP="009B3F34">
      <w:pPr>
        <w:pStyle w:val="EndNoteBibliography"/>
        <w:ind w:left="720" w:hanging="720"/>
      </w:pPr>
      <w:r w:rsidRPr="00C07283">
        <w:t xml:space="preserve">McKinnon, R. (2017) 'Allies Behaving Badly: Gaslighting as epistemic injustice', in Kidd, I.J., Medina, J. &amp; Pohlhaus, G. (eds.) </w:t>
      </w:r>
      <w:r w:rsidRPr="00C07283">
        <w:rPr>
          <w:i/>
        </w:rPr>
        <w:t xml:space="preserve">The Routledge Handbook of Epistemic Injustice: Vol. 15 Routledge handbooks in Philosophy. </w:t>
      </w:r>
      <w:r w:rsidRPr="00C07283">
        <w:t>1st edn. Abingdon: Taylor and Francis.</w:t>
      </w:r>
    </w:p>
    <w:p w14:paraId="1F007492" w14:textId="77777777" w:rsidR="009B3F34" w:rsidRPr="00C07283" w:rsidRDefault="009B3F34" w:rsidP="009B3F34">
      <w:pPr>
        <w:pStyle w:val="EndNoteBibliography"/>
        <w:ind w:left="720" w:hanging="720"/>
      </w:pPr>
      <w:r w:rsidRPr="00C07283">
        <w:t xml:space="preserve">Medina, J. (2012) 'Hermeneutical Injustice and Polyphonic Contextualism: Social Silences and Shared Hermeneutical Responsibilities', </w:t>
      </w:r>
      <w:r w:rsidRPr="00C07283">
        <w:rPr>
          <w:i/>
        </w:rPr>
        <w:t>Social Epistemology,</w:t>
      </w:r>
      <w:r w:rsidRPr="00C07283">
        <w:t xml:space="preserve"> 26(2), pp. 201-220. doi: 10.1080/02691728.2011.652214.</w:t>
      </w:r>
    </w:p>
    <w:p w14:paraId="6F84BA4F" w14:textId="77777777" w:rsidR="009B3F34" w:rsidRDefault="009B3F34" w:rsidP="009B3F34">
      <w:pPr>
        <w:pStyle w:val="EndNoteBibliography"/>
        <w:ind w:left="720" w:hanging="720"/>
      </w:pPr>
      <w:r w:rsidRPr="00C07283">
        <w:t xml:space="preserve">Mungwini, P. (2017) '“African Know Thyself”: Epistemic Injustice and the Quest for Liberative Knowledge', </w:t>
      </w:r>
      <w:r w:rsidRPr="00C07283">
        <w:rPr>
          <w:i/>
        </w:rPr>
        <w:t>International Journal of African Renaissance Studies - Multi-, Inter- and Transdisciplinarity,</w:t>
      </w:r>
      <w:r w:rsidRPr="00C07283">
        <w:t xml:space="preserve"> 12(2), pp. 5-18. doi: 10.1080/18186874.2017.1392125.</w:t>
      </w:r>
    </w:p>
    <w:p w14:paraId="51EC6E85" w14:textId="77777777" w:rsidR="009B3F34" w:rsidRPr="00C07283" w:rsidRDefault="009B3F34" w:rsidP="009B3F34">
      <w:pPr>
        <w:pStyle w:val="EndNoteBibliography"/>
        <w:ind w:left="720" w:hanging="720"/>
      </w:pPr>
      <w:r w:rsidRPr="00C07283">
        <w:lastRenderedPageBreak/>
        <w:t xml:space="preserve">Pickles, M. (2017) </w:t>
      </w:r>
      <w:r w:rsidRPr="00C07283">
        <w:rPr>
          <w:i/>
        </w:rPr>
        <w:t>'Mesearch' - when study really is all about me.</w:t>
      </w:r>
      <w:r w:rsidRPr="00C07283">
        <w:t xml:space="preserve"> BBC Available at: </w:t>
      </w:r>
      <w:hyperlink r:id="rId7" w:history="1">
        <w:r w:rsidRPr="00C07283">
          <w:rPr>
            <w:rStyle w:val="Hyperlink"/>
          </w:rPr>
          <w:t>https://www.bbc.co.uk/news/business-39856894</w:t>
        </w:r>
      </w:hyperlink>
      <w:r w:rsidRPr="00C07283">
        <w:t xml:space="preserve"> (Accessed: 0 June 2021).</w:t>
      </w:r>
    </w:p>
    <w:p w14:paraId="7658CE0A" w14:textId="77777777" w:rsidR="009B3F34" w:rsidRPr="00C07283" w:rsidRDefault="009B3F34" w:rsidP="009B3F34">
      <w:pPr>
        <w:pStyle w:val="EndNoteBibliography"/>
        <w:ind w:left="720" w:hanging="720"/>
      </w:pPr>
      <w:r w:rsidRPr="00C07283">
        <w:t xml:space="preserve">Pohlhaus, G. (2012) 'Relational Knowing and Epistemic Injustice: Toward a Theory of Willful Hermeneutical Ignorance', </w:t>
      </w:r>
      <w:r w:rsidRPr="00C07283">
        <w:rPr>
          <w:i/>
        </w:rPr>
        <w:t>Hypatia,</w:t>
      </w:r>
      <w:r w:rsidRPr="00C07283">
        <w:t xml:space="preserve"> 27(4), pp. 715-735. doi: 10.1111/j.1527-2001.2011.01222.x.</w:t>
      </w:r>
    </w:p>
    <w:p w14:paraId="47E53AC9" w14:textId="77777777" w:rsidR="009B3F34" w:rsidRPr="00C07283" w:rsidRDefault="009B3F34" w:rsidP="009B3F34">
      <w:pPr>
        <w:pStyle w:val="EndNoteBibliography"/>
        <w:ind w:left="720" w:hanging="720"/>
      </w:pPr>
      <w:r w:rsidRPr="00C07283">
        <w:t xml:space="preserve">Pohlhaus, G. (2017) 'Varieties of Epistemic Injustice', in Kidd, I.J., Medina, J. &amp; Pohlhaus, G. (eds.) </w:t>
      </w:r>
      <w:r w:rsidRPr="00C07283">
        <w:rPr>
          <w:i/>
        </w:rPr>
        <w:t xml:space="preserve">The Routledge Handbook of Epistemic Injustice Routledge handbooks in Philosophy. </w:t>
      </w:r>
      <w:r w:rsidRPr="00C07283">
        <w:t>1st edn. Abingdon: Taylor and Francis.</w:t>
      </w:r>
    </w:p>
    <w:p w14:paraId="400D1340" w14:textId="77777777" w:rsidR="009B3F34" w:rsidRPr="00C07283" w:rsidRDefault="009B3F34" w:rsidP="009B3F34">
      <w:pPr>
        <w:pStyle w:val="EndNoteBibliography"/>
        <w:ind w:left="720" w:hanging="720"/>
      </w:pPr>
      <w:r w:rsidRPr="00C07283">
        <w:t xml:space="preserve">Ray, V. (2016) </w:t>
      </w:r>
      <w:r w:rsidRPr="00C07283">
        <w:rPr>
          <w:i/>
        </w:rPr>
        <w:t>The Unbearable Whiteness of Mesearch.</w:t>
      </w:r>
      <w:r w:rsidRPr="00C07283">
        <w:t xml:space="preserve"> Inside Higher Ed Available at: </w:t>
      </w:r>
      <w:hyperlink r:id="rId8" w:history="1">
        <w:r w:rsidRPr="00C07283">
          <w:rPr>
            <w:rStyle w:val="Hyperlink"/>
          </w:rPr>
          <w:t>https://www.insidehighered.com/advice/2016/10/21/me-studies-are-not-just-conducted-people-color-essay</w:t>
        </w:r>
      </w:hyperlink>
      <w:r w:rsidRPr="00C07283">
        <w:t xml:space="preserve"> (Accessed: 08 June 2021).</w:t>
      </w:r>
    </w:p>
    <w:p w14:paraId="50A85D1C" w14:textId="77777777" w:rsidR="009B3F34" w:rsidRPr="00C07283" w:rsidRDefault="009B3F34" w:rsidP="009B3F34">
      <w:pPr>
        <w:pStyle w:val="EndNoteBibliography"/>
        <w:ind w:left="720" w:hanging="720"/>
      </w:pPr>
      <w:r w:rsidRPr="00C07283">
        <w:t xml:space="preserve">Rudolph, S., Sriprakash, A. and Gerrard, J. (2018) 'Knowledge and racial violence: the shine and shadow of ‘powerful knowledge’', </w:t>
      </w:r>
      <w:r w:rsidRPr="00C07283">
        <w:rPr>
          <w:i/>
        </w:rPr>
        <w:t>Ethics and Education,</w:t>
      </w:r>
      <w:r w:rsidRPr="00C07283">
        <w:t xml:space="preserve"> 13(1), pp. 22-38. doi: 10.1080/17449642.2018.1428719.</w:t>
      </w:r>
    </w:p>
    <w:p w14:paraId="6608D35C" w14:textId="77777777" w:rsidR="009B3F34" w:rsidRPr="00C07283" w:rsidRDefault="009B3F34" w:rsidP="009B3F34">
      <w:pPr>
        <w:pStyle w:val="EndNoteBibliography"/>
        <w:ind w:left="720" w:hanging="720"/>
      </w:pPr>
      <w:r w:rsidRPr="00C07283">
        <w:t xml:space="preserve">Thorn, A. (2021) </w:t>
      </w:r>
      <w:r w:rsidRPr="00C07283">
        <w:rPr>
          <w:i/>
        </w:rPr>
        <w:t>Social Constructs | Philosophy Tube.</w:t>
      </w:r>
      <w:r w:rsidRPr="00C07283">
        <w:t xml:space="preserve"> Philosophy Tube [Video] Available at: </w:t>
      </w:r>
      <w:hyperlink r:id="rId9" w:history="1">
        <w:r w:rsidRPr="00C07283">
          <w:rPr>
            <w:rStyle w:val="Hyperlink"/>
          </w:rPr>
          <w:t>https://youtu.be/koud7hgGyQ8</w:t>
        </w:r>
      </w:hyperlink>
      <w:r w:rsidRPr="00C07283">
        <w:t xml:space="preserve"> (Accessed: 06 August 2021).</w:t>
      </w:r>
    </w:p>
    <w:p w14:paraId="7BA1689B" w14:textId="77777777" w:rsidR="009B3F34" w:rsidRPr="00C07283" w:rsidRDefault="009B3F34" w:rsidP="009B3F34">
      <w:pPr>
        <w:pStyle w:val="EndNoteBibliography"/>
        <w:ind w:left="720" w:hanging="720"/>
      </w:pPr>
      <w:r w:rsidRPr="00C07283">
        <w:t xml:space="preserve">Tobi, A. T. (2020) 'Towards A Plausible Account of Epistemic Decolonisation', </w:t>
      </w:r>
      <w:r w:rsidRPr="00C07283">
        <w:rPr>
          <w:i/>
        </w:rPr>
        <w:t>Philosophical Papers,</w:t>
      </w:r>
      <w:r w:rsidRPr="00C07283">
        <w:t xml:space="preserve"> 49(2), pp. 253-278. doi: 10.1080/05568641.2020.1779602.</w:t>
      </w:r>
    </w:p>
    <w:p w14:paraId="7A36E9A2" w14:textId="77777777" w:rsidR="009B3F34" w:rsidRPr="00C07283" w:rsidRDefault="009B3F34" w:rsidP="009B3F34">
      <w:pPr>
        <w:pStyle w:val="EndNoteBibliography"/>
        <w:ind w:left="720" w:hanging="720"/>
      </w:pPr>
      <w:r w:rsidRPr="00C07283">
        <w:lastRenderedPageBreak/>
        <w:t xml:space="preserve">Vaditya, V. (2018) 'Social Domination and Epistemic Marginalisation: towards Methodology of the Oppressed', </w:t>
      </w:r>
      <w:r w:rsidRPr="00C07283">
        <w:rPr>
          <w:i/>
        </w:rPr>
        <w:t>Social Epistemology,</w:t>
      </w:r>
      <w:r w:rsidRPr="00C07283">
        <w:t xml:space="preserve"> 32(4), pp. 272-285. doi: 10.1080/02691728.2018.1444111.</w:t>
      </w:r>
    </w:p>
    <w:p w14:paraId="6371D95D" w14:textId="77777777" w:rsidR="00584171" w:rsidRDefault="00584171"/>
    <w:sectPr w:rsidR="00584171" w:rsidSect="00631127">
      <w:headerReference w:type="default" r:id="rId10"/>
      <w:footerReference w:type="default" r:id="rId11"/>
      <w:pgSz w:w="11906" w:h="16838"/>
      <w:pgMar w:top="1418" w:right="1814" w:bottom="1418" w:left="181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6B9BAB" w14:textId="77777777" w:rsidR="002F01B0" w:rsidRDefault="002F01B0" w:rsidP="009B3F34">
      <w:pPr>
        <w:spacing w:line="240" w:lineRule="auto"/>
      </w:pPr>
      <w:r>
        <w:separator/>
      </w:r>
    </w:p>
  </w:endnote>
  <w:endnote w:type="continuationSeparator" w:id="0">
    <w:p w14:paraId="0F2A4142" w14:textId="77777777" w:rsidR="002F01B0" w:rsidRDefault="002F01B0" w:rsidP="009B3F3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0DF64C" w14:textId="2893E21C" w:rsidR="009B3F34" w:rsidRDefault="009B3F34">
    <w:pPr>
      <w:pStyle w:val="Footer"/>
    </w:pPr>
    <w:r>
      <w:rPr>
        <w:noProof/>
      </w:rPr>
      <w:pict w14:anchorId="39024EC0">
        <v:group id="Group 164" o:spid="_x0000_s1025" style="position:absolute;margin-left:434.8pt;margin-top:0;width:486pt;height:21.6pt;z-index:251659264;mso-position-horizontal:right;mso-position-horizontal-relative:page;mso-position-vertical:center;mso-position-vertical-relative:bottom-margin-area" coordsize="61722,27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">
          <v:rect id="Rectangle 165" o:spid="_x0000_s1026" style="position:absolute;left:2286;width:59436;height:274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" fillcolor="white [3212]" stroked="f" strokeweight="1pt">
            <v:fill opacity="0"/>
          </v:rect>
          <v:shapetype id="_x0000_t202" coordsize="21600,21600" o:spt="202" path="m,l,21600r21600,l21600,xe">
            <v:stroke joinstyle="miter"/>
            <v:path gradientshapeok="t" o:connecttype="rect"/>
          </v:shapetype>
          <v:shape id="Text Box 166" o:spid="_x0000_s1027" type="#_x0000_t202" style="position:absolute;top:95;width:59436;height:23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" filled="f" stroked="f" strokeweight=".5pt">
            <v:textbox style="mso-fit-shape-to-text:t" inset="0,,0">
              <w:txbxContent>
                <w:p w14:paraId="00A64D52" w14:textId="3AE80417" w:rsidR="009B3F34" w:rsidRDefault="009B3F34">
                  <w:pPr>
                    <w:pStyle w:val="Footer"/>
                    <w:jc w:val="right"/>
                  </w:pPr>
                  <w:sdt>
                    <w:sdtPr>
                      <w:rPr>
                        <w:caps/>
                        <w:color w:val="072446"/>
                        <w:sz w:val="20"/>
                        <w:szCs w:val="20"/>
                      </w:rPr>
                      <w:alias w:val="Title"/>
                      <w:tag w:val=""/>
                      <w:id w:val="-2000573687"/>
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<w:text/>
                    </w:sdtPr>
                    <w:sdtContent>
                      <w:r w:rsidRPr="009B3F34">
                        <w:rPr>
                          <w:caps/>
                          <w:color w:val="072446"/>
                          <w:sz w:val="20"/>
                          <w:szCs w:val="20"/>
                        </w:rPr>
                        <w:t>lou chiu coaching and consultancy</w:t>
                      </w:r>
                    </w:sdtContent>
                  </w:sdt>
                  <w:r>
                    <w:rPr>
                      <w:caps/>
                      <w:color w:val="808080" w:themeColor="background1" w:themeShade="80"/>
                      <w:sz w:val="20"/>
                      <w:szCs w:val="20"/>
                    </w:rPr>
                    <w:t> | </w:t>
                  </w:r>
                  <w:sdt>
                    <w:sdtPr>
                      <w:rPr>
                        <w:color w:val="808080" w:themeColor="background1" w:themeShade="80"/>
                        <w:sz w:val="20"/>
                        <w:szCs w:val="20"/>
                      </w:rPr>
                      <w:alias w:val="Subtitle"/>
                      <w:tag w:val=""/>
                      <w:id w:val="-757830567"/>
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<w:text/>
                    </w:sdtPr>
                    <w:sdtContent>
                      <w:r>
                        <w:rPr>
                          <w:color w:val="808080" w:themeColor="background1" w:themeShade="80"/>
                          <w:sz w:val="20"/>
                          <w:szCs w:val="20"/>
                        </w:rPr>
                        <w:t>Academic Sources: Epistemic Injustice and Safety</w:t>
                      </w:r>
                    </w:sdtContent>
                  </w:sdt>
                </w:p>
              </w:txbxContent>
            </v:textbox>
          </v:shape>
          <w10:wrap anchorx="page" anchory="margin"/>
        </v:group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A1F4B0" w14:textId="77777777" w:rsidR="002F01B0" w:rsidRDefault="002F01B0" w:rsidP="009B3F34">
      <w:pPr>
        <w:spacing w:line="240" w:lineRule="auto"/>
      </w:pPr>
      <w:r>
        <w:separator/>
      </w:r>
    </w:p>
  </w:footnote>
  <w:footnote w:type="continuationSeparator" w:id="0">
    <w:p w14:paraId="3535210D" w14:textId="77777777" w:rsidR="002F01B0" w:rsidRDefault="002F01B0" w:rsidP="009B3F3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09958147"/>
      <w:docPartObj>
        <w:docPartGallery w:val="Page Numbers (Margins)"/>
        <w:docPartUnique/>
      </w:docPartObj>
    </w:sdtPr>
    <w:sdtContent>
      <w:p w14:paraId="24C8BFEB" w14:textId="5EE10662" w:rsidR="009B3F34" w:rsidRDefault="009B3F34">
        <w:pPr>
          <w:pStyle w:val="Header"/>
        </w:pPr>
        <w:r>
          <w:rPr>
            <w:noProof/>
          </w:rPr>
          <w:pict w14:anchorId="04E5D400">
            <v:rect id="_x0000_s1028" style="position:absolute;margin-left:43.15pt;margin-top:0;width:64.5pt;height:34.15pt;z-index:251661312;visibility:visible;mso-wrap-style:square;mso-width-percent:900;mso-height-percent:0;mso-top-percent:100;mso-wrap-distance-left:9pt;mso-wrap-distance-top:0;mso-wrap-distance-right:9pt;mso-wrap-distance-bottom:0;mso-position-horizontal:right;mso-position-horizontal-relative:right-margin-area;mso-position-vertical-relative:margin;mso-width-percent:900;mso-height-percent:0;mso-top-percent:100;mso-width-relative:right-margin-area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" o:allowincell="f" stroked="f">
              <v:textbox style="mso-fit-shape-to-text:t" inset="0,,0">
                <w:txbxContent>
                  <w:p w14:paraId="0002B336" w14:textId="77777777" w:rsidR="009B3F34" w:rsidRDefault="009B3F34">
                    <w:pPr>
                      <w:pBdr>
                        <w:top w:val="single" w:sz="4" w:space="1" w:color="D8D8D8" w:themeColor="background1" w:themeShade="D8"/>
                      </w:pBdr>
                    </w:pPr>
                    <w:r>
                      <w:t xml:space="preserve">Page | </w:t>
                    </w:r>
                    <w:r>
                      <w:fldChar w:fldCharType="begin"/>
                    </w:r>
                    <w:r>
                      <w:instrText xml:space="preserve"> PAGE   \* MERGEFORMAT </w:instrText>
                    </w:r>
                    <w:r>
                      <w:fldChar w:fldCharType="separate"/>
                    </w:r>
                    <w:r>
                      <w:rPr>
                        <w:noProof/>
                      </w:rPr>
                      <w:t>2</w:t>
                    </w:r>
                    <w:r>
                      <w:rPr>
                        <w:noProof/>
                      </w:rPr>
                      <w:fldChar w:fldCharType="end"/>
                    </w:r>
                  </w:p>
                </w:txbxContent>
              </v:textbox>
              <w10:wrap anchorx="margin" anchory="margin"/>
            </v:rect>
          </w:pict>
        </w:r>
      </w:p>
    </w:sdtContent>
  </w:sdt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tDQ2MDQwtjAyMDE2MzBS0lEKTi0uzszPAykwrAUAgNIqBSwAAAA="/>
  </w:docVars>
  <w:rsids>
    <w:rsidRoot w:val="009B3F34"/>
    <w:rsid w:val="001D1430"/>
    <w:rsid w:val="00226E45"/>
    <w:rsid w:val="00281077"/>
    <w:rsid w:val="002B3CF9"/>
    <w:rsid w:val="002F01B0"/>
    <w:rsid w:val="003607ED"/>
    <w:rsid w:val="003978B5"/>
    <w:rsid w:val="00584171"/>
    <w:rsid w:val="005A30C8"/>
    <w:rsid w:val="00631127"/>
    <w:rsid w:val="00782D6D"/>
    <w:rsid w:val="0097310D"/>
    <w:rsid w:val="009B3F34"/>
    <w:rsid w:val="009C55A9"/>
    <w:rsid w:val="009D7507"/>
    <w:rsid w:val="00A357BF"/>
    <w:rsid w:val="00AB5FF5"/>
    <w:rsid w:val="00AE3F56"/>
    <w:rsid w:val="00C649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653F189"/>
  <w15:chartTrackingRefBased/>
  <w15:docId w15:val="{1BF23B06-2F92-4336-931B-CE02464A89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theme="minorBidi"/>
        <w:color w:val="1F3864" w:themeColor="accent1" w:themeShade="80"/>
        <w:sz w:val="22"/>
        <w:szCs w:val="22"/>
        <w:lang w:val="en-GB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26E45"/>
    <w:pPr>
      <w:spacing w:line="480" w:lineRule="auto"/>
    </w:pPr>
    <w:rPr>
      <w:color w:val="000000" w:themeColor="text1"/>
      <w:sz w:val="24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226E45"/>
    <w:pPr>
      <w:keepNext/>
      <w:keepLines/>
      <w:spacing w:before="240" w:line="240" w:lineRule="auto"/>
      <w:outlineLvl w:val="0"/>
    </w:pPr>
    <w:rPr>
      <w:rFonts w:asciiTheme="majorHAnsi" w:eastAsiaTheme="majorEastAsia" w:hAnsiTheme="majorHAnsi" w:cstheme="majorHAnsi"/>
      <w:b/>
      <w:szCs w:val="24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226E45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b/>
      <w:szCs w:val="26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226E45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b/>
      <w:szCs w:val="24"/>
    </w:rPr>
  </w:style>
  <w:style w:type="paragraph" w:styleId="Heading4">
    <w:name w:val="heading 4"/>
    <w:basedOn w:val="Normal"/>
    <w:next w:val="Normal"/>
    <w:link w:val="Heading4Char"/>
    <w:autoRedefine/>
    <w:uiPriority w:val="9"/>
    <w:unhideWhenUsed/>
    <w:qFormat/>
    <w:rsid w:val="00226E45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26E45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26E45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26E45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26E45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26E45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26E45"/>
    <w:rPr>
      <w:rFonts w:asciiTheme="majorHAnsi" w:eastAsiaTheme="majorEastAsia" w:hAnsiTheme="majorHAnsi" w:cstheme="majorHAnsi"/>
      <w:b/>
      <w:color w:val="000000" w:themeColor="text1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226E45"/>
    <w:rPr>
      <w:rFonts w:asciiTheme="majorHAnsi" w:eastAsiaTheme="majorEastAsia" w:hAnsiTheme="majorHAnsi" w:cstheme="majorBidi"/>
      <w:b/>
      <w:color w:val="000000" w:themeColor="text1"/>
      <w:sz w:val="24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226E45"/>
    <w:rPr>
      <w:rFonts w:asciiTheme="majorHAnsi" w:eastAsiaTheme="majorEastAsia" w:hAnsiTheme="majorHAnsi" w:cstheme="majorBidi"/>
      <w:b/>
      <w:color w:val="000000" w:themeColor="text1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226E45"/>
    <w:rPr>
      <w:rFonts w:asciiTheme="majorHAnsi" w:eastAsiaTheme="majorEastAsia" w:hAnsiTheme="majorHAnsi" w:cstheme="majorBidi"/>
      <w:i/>
      <w:iCs/>
      <w:color w:val="000000" w:themeColor="text1"/>
      <w:sz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26E45"/>
    <w:rPr>
      <w:rFonts w:asciiTheme="majorHAnsi" w:eastAsiaTheme="majorEastAsia" w:hAnsiTheme="majorHAnsi" w:cstheme="majorBidi"/>
      <w:color w:val="2F5496" w:themeColor="accent1" w:themeShade="BF"/>
      <w:sz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26E45"/>
    <w:rPr>
      <w:rFonts w:asciiTheme="majorHAnsi" w:eastAsiaTheme="majorEastAsia" w:hAnsiTheme="majorHAnsi" w:cstheme="majorBidi"/>
      <w:color w:val="1F3763" w:themeColor="accent1" w:themeShade="7F"/>
      <w:sz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26E45"/>
    <w:rPr>
      <w:rFonts w:asciiTheme="majorHAnsi" w:eastAsiaTheme="majorEastAsia" w:hAnsiTheme="majorHAnsi" w:cstheme="majorBidi"/>
      <w:i/>
      <w:iCs/>
      <w:color w:val="1F3763" w:themeColor="accent1" w:themeShade="7F"/>
      <w:sz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26E45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26E45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226E45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Title">
    <w:name w:val="Title"/>
    <w:basedOn w:val="Normal"/>
    <w:next w:val="Normal"/>
    <w:link w:val="TitleChar"/>
    <w:autoRedefine/>
    <w:uiPriority w:val="10"/>
    <w:qFormat/>
    <w:rsid w:val="00226E45"/>
    <w:pPr>
      <w:spacing w:line="240" w:lineRule="auto"/>
      <w:contextualSpacing/>
      <w:jc w:val="center"/>
      <w:outlineLvl w:val="0"/>
    </w:pPr>
    <w:rPr>
      <w:rFonts w:asciiTheme="majorHAnsi" w:eastAsiaTheme="majorEastAsia" w:hAnsiTheme="majorHAnsi" w:cstheme="majorBidi"/>
      <w:b/>
      <w:spacing w:val="-10"/>
      <w:kern w:val="28"/>
      <w:sz w:val="28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26E45"/>
    <w:rPr>
      <w:rFonts w:asciiTheme="majorHAnsi" w:eastAsiaTheme="majorEastAsia" w:hAnsiTheme="majorHAnsi" w:cstheme="majorBidi"/>
      <w:b/>
      <w:color w:val="000000" w:themeColor="text1"/>
      <w:spacing w:val="-10"/>
      <w:kern w:val="28"/>
      <w:sz w:val="28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26E45"/>
    <w:pPr>
      <w:numPr>
        <w:ilvl w:val="1"/>
      </w:numPr>
    </w:pPr>
    <w:rPr>
      <w:rFonts w:asciiTheme="minorHAnsi" w:eastAsiaTheme="minorEastAsia" w:hAnsiTheme="minorHAnsi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226E45"/>
    <w:rPr>
      <w:rFonts w:asciiTheme="minorHAnsi" w:eastAsiaTheme="minorEastAsia" w:hAnsiTheme="minorHAnsi"/>
      <w:color w:val="5A5A5A" w:themeColor="text1" w:themeTint="A5"/>
      <w:spacing w:val="15"/>
      <w:sz w:val="24"/>
    </w:rPr>
  </w:style>
  <w:style w:type="character" w:styleId="Strong">
    <w:name w:val="Strong"/>
    <w:basedOn w:val="DefaultParagraphFont"/>
    <w:uiPriority w:val="22"/>
    <w:qFormat/>
    <w:rsid w:val="00226E45"/>
    <w:rPr>
      <w:b/>
      <w:bCs/>
    </w:rPr>
  </w:style>
  <w:style w:type="character" w:styleId="Emphasis">
    <w:name w:val="Emphasis"/>
    <w:basedOn w:val="DefaultParagraphFont"/>
    <w:uiPriority w:val="20"/>
    <w:qFormat/>
    <w:rsid w:val="00226E45"/>
    <w:rPr>
      <w:i/>
      <w:iCs/>
    </w:rPr>
  </w:style>
  <w:style w:type="paragraph" w:styleId="NoSpacing">
    <w:name w:val="No Spacing"/>
    <w:uiPriority w:val="1"/>
    <w:qFormat/>
    <w:rsid w:val="00226E45"/>
    <w:pPr>
      <w:spacing w:line="240" w:lineRule="auto"/>
    </w:pPr>
  </w:style>
  <w:style w:type="paragraph" w:styleId="ListParagraph">
    <w:name w:val="List Paragraph"/>
    <w:basedOn w:val="Normal"/>
    <w:uiPriority w:val="34"/>
    <w:qFormat/>
    <w:rsid w:val="00226E45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226E45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26E45"/>
    <w:rPr>
      <w:i/>
      <w:iCs/>
      <w:color w:val="404040" w:themeColor="text1" w:themeTint="BF"/>
      <w:sz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26E45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26E45"/>
    <w:rPr>
      <w:i/>
      <w:iCs/>
      <w:color w:val="4472C4" w:themeColor="accent1"/>
      <w:sz w:val="24"/>
    </w:rPr>
  </w:style>
  <w:style w:type="character" w:styleId="SubtleEmphasis">
    <w:name w:val="Subtle Emphasis"/>
    <w:basedOn w:val="DefaultParagraphFont"/>
    <w:uiPriority w:val="19"/>
    <w:qFormat/>
    <w:rsid w:val="00226E45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226E45"/>
    <w:rPr>
      <w:i/>
      <w:iCs/>
      <w:color w:val="4472C4" w:themeColor="accent1"/>
    </w:rPr>
  </w:style>
  <w:style w:type="character" w:styleId="SubtleReference">
    <w:name w:val="Subtle Reference"/>
    <w:basedOn w:val="DefaultParagraphFont"/>
    <w:uiPriority w:val="31"/>
    <w:qFormat/>
    <w:rsid w:val="00226E45"/>
    <w:rPr>
      <w:smallCaps/>
      <w:color w:val="5A5A5A" w:themeColor="text1" w:themeTint="A5"/>
    </w:rPr>
  </w:style>
  <w:style w:type="character" w:styleId="IntenseReference">
    <w:name w:val="Intense Reference"/>
    <w:basedOn w:val="DefaultParagraphFont"/>
    <w:uiPriority w:val="32"/>
    <w:qFormat/>
    <w:rsid w:val="00226E45"/>
    <w:rPr>
      <w:b/>
      <w:bCs/>
      <w:smallCaps/>
      <w:color w:val="4472C4" w:themeColor="accent1"/>
      <w:spacing w:val="5"/>
    </w:rPr>
  </w:style>
  <w:style w:type="character" w:styleId="BookTitle">
    <w:name w:val="Book Title"/>
    <w:basedOn w:val="DefaultParagraphFont"/>
    <w:uiPriority w:val="33"/>
    <w:qFormat/>
    <w:rsid w:val="00226E45"/>
    <w:rPr>
      <w:b/>
      <w:bCs/>
      <w:i/>
      <w:iCs/>
      <w:spacing w:val="5"/>
    </w:rPr>
  </w:style>
  <w:style w:type="paragraph" w:styleId="TOCHeading">
    <w:name w:val="TOC Heading"/>
    <w:basedOn w:val="Heading1"/>
    <w:next w:val="Normal"/>
    <w:uiPriority w:val="39"/>
    <w:unhideWhenUsed/>
    <w:qFormat/>
    <w:rsid w:val="00226E45"/>
    <w:pPr>
      <w:outlineLvl w:val="9"/>
    </w:pPr>
  </w:style>
  <w:style w:type="paragraph" w:customStyle="1" w:styleId="Figure1">
    <w:name w:val="Figure 1"/>
    <w:basedOn w:val="Caption"/>
    <w:autoRedefine/>
    <w:qFormat/>
    <w:rsid w:val="00226E45"/>
    <w:pPr>
      <w:spacing w:after="0" w:line="360" w:lineRule="auto"/>
      <w:contextualSpacing/>
      <w:jc w:val="right"/>
    </w:pPr>
    <w:rPr>
      <w:rFonts w:asciiTheme="minorHAnsi" w:eastAsiaTheme="minorEastAsia" w:hAnsiTheme="minorHAnsi" w:cstheme="minorHAnsi"/>
      <w:b/>
      <w:i w:val="0"/>
      <w:sz w:val="20"/>
      <w:szCs w:val="20"/>
    </w:rPr>
  </w:style>
  <w:style w:type="paragraph" w:customStyle="1" w:styleId="EndNoteBibliographyTitle">
    <w:name w:val="EndNote Bibliography Title"/>
    <w:basedOn w:val="Normal"/>
    <w:link w:val="EndNoteBibliographyTitleChar"/>
    <w:rsid w:val="00226E45"/>
    <w:pPr>
      <w:jc w:val="center"/>
    </w:pPr>
    <w:rPr>
      <w:rFonts w:cs="Arial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226E45"/>
    <w:rPr>
      <w:rFonts w:cs="Arial"/>
      <w:noProof/>
      <w:color w:val="000000" w:themeColor="text1"/>
      <w:sz w:val="24"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226E45"/>
    <w:rPr>
      <w:rFonts w:cs="Arial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226E45"/>
    <w:rPr>
      <w:rFonts w:cs="Arial"/>
      <w:noProof/>
      <w:color w:val="000000" w:themeColor="text1"/>
      <w:sz w:val="24"/>
      <w:lang w:val="en-US"/>
    </w:rPr>
  </w:style>
  <w:style w:type="character" w:styleId="Hyperlink">
    <w:name w:val="Hyperlink"/>
    <w:basedOn w:val="DefaultParagraphFont"/>
    <w:uiPriority w:val="99"/>
    <w:unhideWhenUsed/>
    <w:rsid w:val="00226E45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226E45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226E45"/>
    <w:rPr>
      <w:color w:val="605E5C"/>
      <w:shd w:val="clear" w:color="auto" w:fill="E1DFDD"/>
    </w:rPr>
  </w:style>
  <w:style w:type="paragraph" w:customStyle="1" w:styleId="Table">
    <w:name w:val="Table"/>
    <w:basedOn w:val="Normal"/>
    <w:autoRedefine/>
    <w:qFormat/>
    <w:rsid w:val="00226E45"/>
    <w:pPr>
      <w:spacing w:line="240" w:lineRule="auto"/>
      <w:contextualSpacing/>
      <w:jc w:val="right"/>
    </w:pPr>
    <w:rPr>
      <w:rFonts w:asciiTheme="minorHAnsi" w:hAnsiTheme="minorHAnsi" w:cstheme="minorHAnsi"/>
      <w:b/>
      <w:i/>
      <w:color w:val="auto"/>
      <w:sz w:val="20"/>
    </w:rPr>
  </w:style>
  <w:style w:type="paragraph" w:styleId="TOC1">
    <w:name w:val="toc 1"/>
    <w:basedOn w:val="Normal"/>
    <w:next w:val="Normal"/>
    <w:autoRedefine/>
    <w:uiPriority w:val="39"/>
    <w:unhideWhenUsed/>
    <w:rsid w:val="00226E45"/>
    <w:pPr>
      <w:spacing w:after="100"/>
    </w:pPr>
    <w:rPr>
      <w:color w:val="auto"/>
    </w:rPr>
  </w:style>
  <w:style w:type="character" w:customStyle="1" w:styleId="cf01">
    <w:name w:val="cf01"/>
    <w:basedOn w:val="DefaultParagraphFont"/>
    <w:rsid w:val="00226E45"/>
    <w:rPr>
      <w:rFonts w:ascii="Segoe UI" w:hAnsi="Segoe UI" w:cs="Segoe UI" w:hint="default"/>
      <w:sz w:val="18"/>
      <w:szCs w:val="18"/>
    </w:rPr>
  </w:style>
  <w:style w:type="paragraph" w:customStyle="1" w:styleId="Normal0">
    <w:name w:val="[Normal]"/>
    <w:rsid w:val="00226E45"/>
    <w:pPr>
      <w:widowControl w:val="0"/>
      <w:autoSpaceDE w:val="0"/>
      <w:autoSpaceDN w:val="0"/>
      <w:adjustRightInd w:val="0"/>
      <w:spacing w:line="240" w:lineRule="auto"/>
    </w:pPr>
    <w:rPr>
      <w:rFonts w:cs="Arial"/>
      <w:sz w:val="24"/>
      <w:szCs w:val="24"/>
    </w:rPr>
  </w:style>
  <w:style w:type="paragraph" w:styleId="TOC2">
    <w:name w:val="toc 2"/>
    <w:basedOn w:val="Normal"/>
    <w:next w:val="Normal"/>
    <w:autoRedefine/>
    <w:uiPriority w:val="39"/>
    <w:unhideWhenUsed/>
    <w:rsid w:val="00226E45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unhideWhenUsed/>
    <w:rsid w:val="00226E45"/>
    <w:pPr>
      <w:spacing w:after="100"/>
      <w:ind w:left="440"/>
    </w:pPr>
  </w:style>
  <w:style w:type="paragraph" w:styleId="TOC4">
    <w:name w:val="toc 4"/>
    <w:basedOn w:val="Normal"/>
    <w:next w:val="Normal"/>
    <w:autoRedefine/>
    <w:uiPriority w:val="39"/>
    <w:unhideWhenUsed/>
    <w:rsid w:val="00226E45"/>
    <w:pPr>
      <w:spacing w:after="100"/>
      <w:ind w:left="660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226E45"/>
    <w:pPr>
      <w:spacing w:line="240" w:lineRule="auto"/>
    </w:pPr>
    <w:rPr>
      <w:color w:val="1F3864" w:themeColor="accent1" w:themeShade="80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26E45"/>
    <w:rPr>
      <w:sz w:val="20"/>
      <w:szCs w:val="20"/>
    </w:rPr>
  </w:style>
  <w:style w:type="paragraph" w:styleId="CommentText">
    <w:name w:val="annotation text"/>
    <w:basedOn w:val="Normal"/>
    <w:link w:val="CommentTextChar"/>
    <w:uiPriority w:val="99"/>
    <w:unhideWhenUsed/>
    <w:rsid w:val="00226E45"/>
    <w:pPr>
      <w:spacing w:line="240" w:lineRule="auto"/>
    </w:pPr>
    <w:rPr>
      <w:color w:val="1F3864" w:themeColor="accent1" w:themeShade="80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26E45"/>
    <w:rPr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226E45"/>
    <w:pPr>
      <w:tabs>
        <w:tab w:val="center" w:pos="4513"/>
        <w:tab w:val="right" w:pos="9026"/>
      </w:tabs>
      <w:spacing w:line="240" w:lineRule="auto"/>
    </w:pPr>
    <w:rPr>
      <w:color w:val="1F3864" w:themeColor="accent1" w:themeShade="80"/>
    </w:rPr>
  </w:style>
  <w:style w:type="character" w:customStyle="1" w:styleId="HeaderChar">
    <w:name w:val="Header Char"/>
    <w:basedOn w:val="DefaultParagraphFont"/>
    <w:link w:val="Header"/>
    <w:uiPriority w:val="99"/>
    <w:rsid w:val="00226E45"/>
    <w:rPr>
      <w:sz w:val="24"/>
    </w:rPr>
  </w:style>
  <w:style w:type="paragraph" w:styleId="Footer">
    <w:name w:val="footer"/>
    <w:basedOn w:val="Normal"/>
    <w:link w:val="FooterChar"/>
    <w:uiPriority w:val="99"/>
    <w:unhideWhenUsed/>
    <w:rsid w:val="00226E45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26E45"/>
    <w:rPr>
      <w:color w:val="000000" w:themeColor="text1"/>
      <w:sz w:val="24"/>
    </w:rPr>
  </w:style>
  <w:style w:type="character" w:styleId="FootnoteReference">
    <w:name w:val="footnote reference"/>
    <w:basedOn w:val="DefaultParagraphFont"/>
    <w:uiPriority w:val="99"/>
    <w:semiHidden/>
    <w:unhideWhenUsed/>
    <w:rsid w:val="00226E45"/>
    <w:rPr>
      <w:vertAlign w:val="superscript"/>
    </w:rPr>
  </w:style>
  <w:style w:type="character" w:styleId="CommentReference">
    <w:name w:val="annotation reference"/>
    <w:basedOn w:val="DefaultParagraphFont"/>
    <w:uiPriority w:val="99"/>
    <w:semiHidden/>
    <w:unhideWhenUsed/>
    <w:rsid w:val="00226E45"/>
    <w:rPr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226E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Cs w:val="24"/>
      <w:lang w:eastAsia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26E4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26E45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sidehighered.com/advice/2016/10/21/me-studies-are-not-just-conducted-people-color-essay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www.bbc.co.uk/news/business-39856894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psychologicalscience.org/observer/student-notebook-me-search" TargetMode="External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hyperlink" Target="https://youtu.be/koud7hgGyQ8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667</Words>
  <Characters>3803</Characters>
  <Application>Microsoft Office Word</Application>
  <DocSecurity>0</DocSecurity>
  <Lines>31</Lines>
  <Paragraphs>8</Paragraphs>
  <ScaleCrop>false</ScaleCrop>
  <Company/>
  <LinksUpToDate>false</LinksUpToDate>
  <CharactersWithSpaces>4462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lou chiu coaching and consultancy</dc:title>
  <dc:subject>Academic Sources: Epistemic Injustice and Safety</dc:subject>
  <dc:creator>Lou Chiu</dc:creator>
  <cp:keywords/>
  <dc:description/>
  <cp:lastModifiedBy>Lou Chiu</cp:lastModifiedBy>
  <cp:revision>2</cp:revision>
  <dcterms:created xsi:type="dcterms:W3CDTF">2023-01-27T13:50:00Z</dcterms:created>
  <dcterms:modified xsi:type="dcterms:W3CDTF">2023-01-27T13:52:00Z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32566534-e29c-4196-981a-d153785ed55d</vt:lpwstr>
  </property>
</Properties>
</file>